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068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553B1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009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068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553B1D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009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>по оценке предложений и проведению процедуры переторжки (регулирования цены) по открытому запросу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>по оценке предложений и проведению процедуры переторжки (регулирования цены) по открытому запросу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3926EB" w:rsidTr="00295A5E">
        <w:tc>
          <w:tcPr>
            <w:tcW w:w="4106" w:type="dxa"/>
            <w:shd w:val="clear" w:color="auto" w:fill="FFFFFF"/>
          </w:tcPr>
          <w:p w:rsidR="003721A1" w:rsidRPr="003926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926EB" w:rsidRDefault="003721A1" w:rsidP="002A157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3926EB">
              <w:t>«</w:t>
            </w:r>
            <w:r w:rsidR="002A1573">
              <w:rPr>
                <w:lang w:val="en-US"/>
              </w:rPr>
              <w:t>18</w:t>
            </w:r>
            <w:r w:rsidRPr="003926EB">
              <w:t xml:space="preserve">» </w:t>
            </w:r>
            <w:r w:rsidR="00231463" w:rsidRPr="003926EB">
              <w:t>июля</w:t>
            </w:r>
            <w:r w:rsidRPr="003926EB">
              <w:t xml:space="preserve"> 201</w:t>
            </w:r>
            <w:r w:rsidR="00A970BC" w:rsidRPr="003926EB">
              <w:t>6</w:t>
            </w:r>
            <w:r w:rsidRPr="003926EB">
              <w:t>г.</w:t>
            </w:r>
          </w:p>
        </w:tc>
      </w:tr>
      <w:tr w:rsidR="003721A1" w:rsidRPr="003926EB" w:rsidTr="00295A5E">
        <w:tc>
          <w:tcPr>
            <w:tcW w:w="4106" w:type="dxa"/>
            <w:shd w:val="clear" w:color="auto" w:fill="FFFFFF"/>
          </w:tcPr>
          <w:p w:rsidR="003721A1" w:rsidRPr="003926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926EB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926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3926EB">
              <w:t>г. Барнаул</w:t>
            </w:r>
          </w:p>
        </w:tc>
      </w:tr>
      <w:tr w:rsidR="003721A1" w:rsidRPr="003926EB" w:rsidTr="00295A5E">
        <w:tc>
          <w:tcPr>
            <w:tcW w:w="4106" w:type="dxa"/>
            <w:shd w:val="clear" w:color="auto" w:fill="FFFFFF"/>
          </w:tcPr>
          <w:p w:rsidR="003721A1" w:rsidRPr="003926EB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926EB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3926EB" w:rsidRDefault="003721A1" w:rsidP="007115F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3926EB">
              <w:t>1</w:t>
            </w:r>
            <w:r w:rsidR="007115F9" w:rsidRPr="003926EB">
              <w:t>1</w:t>
            </w:r>
            <w:r w:rsidRPr="003926EB">
              <w:t>:00ч.</w:t>
            </w:r>
          </w:p>
        </w:tc>
      </w:tr>
    </w:tbl>
    <w:p w:rsidR="003721A1" w:rsidRPr="003926EB" w:rsidRDefault="003721A1" w:rsidP="00163E14">
      <w:pPr>
        <w:tabs>
          <w:tab w:val="left" w:pos="709"/>
        </w:tabs>
        <w:ind w:right="140"/>
        <w:rPr>
          <w:b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553B1D" w:rsidRPr="003926EB" w:rsidTr="00B857B6">
        <w:tc>
          <w:tcPr>
            <w:tcW w:w="3407" w:type="dxa"/>
            <w:shd w:val="clear" w:color="auto" w:fill="FFFFFF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926EB">
              <w:t>Специальное оборудование и инструмент, расходные материалы</w:t>
            </w:r>
          </w:p>
        </w:tc>
      </w:tr>
      <w:tr w:rsidR="00553B1D" w:rsidRPr="003926EB" w:rsidTr="00B857B6">
        <w:tc>
          <w:tcPr>
            <w:tcW w:w="3407" w:type="dxa"/>
            <w:shd w:val="clear" w:color="auto" w:fill="FFFFFF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926EB">
              <w:t>880.16.00009</w:t>
            </w:r>
          </w:p>
        </w:tc>
      </w:tr>
      <w:tr w:rsidR="00553B1D" w:rsidRPr="003926EB" w:rsidTr="00B857B6">
        <w:tc>
          <w:tcPr>
            <w:tcW w:w="3407" w:type="dxa"/>
            <w:shd w:val="clear" w:color="auto" w:fill="FFFFFF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926EB">
              <w:t>Открытый запрос предложений</w:t>
            </w:r>
          </w:p>
        </w:tc>
      </w:tr>
      <w:tr w:rsidR="00553B1D" w:rsidRPr="003926EB" w:rsidTr="00B857B6">
        <w:tc>
          <w:tcPr>
            <w:tcW w:w="3407" w:type="dxa"/>
            <w:shd w:val="clear" w:color="auto" w:fill="FFFFFF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926EB">
              <w:t>электронная</w:t>
            </w:r>
          </w:p>
        </w:tc>
      </w:tr>
      <w:tr w:rsidR="00553B1D" w:rsidRPr="003926EB" w:rsidTr="00B857B6">
        <w:tc>
          <w:tcPr>
            <w:tcW w:w="3407" w:type="dxa"/>
            <w:shd w:val="clear" w:color="auto" w:fill="FFFFFF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926EB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926EB">
              <w:t>да</w:t>
            </w:r>
          </w:p>
        </w:tc>
      </w:tr>
      <w:tr w:rsidR="00553B1D" w:rsidRPr="003926EB" w:rsidTr="00B857B6">
        <w:tc>
          <w:tcPr>
            <w:tcW w:w="3407" w:type="dxa"/>
            <w:shd w:val="clear" w:color="auto" w:fill="FFFFFF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t>Сведения о начальной (максимальной) цене лота:</w:t>
            </w:r>
            <w:r w:rsidRPr="003926EB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926EB">
              <w:t xml:space="preserve">666 579,95 </w:t>
            </w:r>
            <w:r w:rsidRPr="003926EB">
              <w:rPr>
                <w:color w:val="000000"/>
              </w:rPr>
              <w:t>руб. без НДС</w:t>
            </w:r>
          </w:p>
        </w:tc>
      </w:tr>
      <w:tr w:rsidR="00553B1D" w:rsidRPr="003926EB" w:rsidTr="00B857B6">
        <w:tc>
          <w:tcPr>
            <w:tcW w:w="3407" w:type="dxa"/>
            <w:shd w:val="clear" w:color="auto" w:fill="FFFFFF"/>
          </w:tcPr>
          <w:p w:rsidR="00553B1D" w:rsidRPr="003926EB" w:rsidRDefault="00553B1D" w:rsidP="00B857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926EB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53B1D" w:rsidRPr="003926EB" w:rsidRDefault="00553B1D" w:rsidP="00B857B6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3926EB">
              <w:rPr>
                <w:sz w:val="24"/>
                <w:szCs w:val="24"/>
              </w:rPr>
              <w:t>Август 2016г. – Сентябрь 2016г.</w:t>
            </w:r>
          </w:p>
        </w:tc>
      </w:tr>
    </w:tbl>
    <w:p w:rsidR="00231463" w:rsidRPr="003926EB" w:rsidRDefault="00231463" w:rsidP="00163E14">
      <w:pPr>
        <w:tabs>
          <w:tab w:val="left" w:pos="709"/>
        </w:tabs>
        <w:ind w:right="140"/>
        <w:rPr>
          <w:b/>
        </w:rPr>
      </w:pPr>
    </w:p>
    <w:p w:rsidR="00285C1A" w:rsidRPr="003926EB" w:rsidRDefault="00285C1A" w:rsidP="00285C1A">
      <w:pPr>
        <w:tabs>
          <w:tab w:val="left" w:pos="709"/>
        </w:tabs>
        <w:ind w:right="142"/>
        <w:rPr>
          <w:b/>
        </w:rPr>
      </w:pPr>
      <w:r w:rsidRPr="003926EB">
        <w:rPr>
          <w:b/>
        </w:rPr>
        <w:t>ПОВЕСТКА:</w:t>
      </w:r>
    </w:p>
    <w:p w:rsidR="00285C1A" w:rsidRPr="003926EB" w:rsidRDefault="00285C1A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3926EB">
        <w:t xml:space="preserve">О рассмотрении Отчета экспертной группы </w:t>
      </w:r>
      <w:r w:rsidR="00F31D65" w:rsidRPr="003926EB">
        <w:t>по оценке поступивших предложений</w:t>
      </w:r>
      <w:r w:rsidRPr="003926EB">
        <w:t>.</w:t>
      </w:r>
    </w:p>
    <w:p w:rsidR="0016144F" w:rsidRPr="003926EB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3926EB">
        <w:t>Об отклонении заявок участников открытого запроса предложений.</w:t>
      </w:r>
    </w:p>
    <w:p w:rsidR="0016144F" w:rsidRPr="003926EB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3926EB">
        <w:t xml:space="preserve">О признании предложений </w:t>
      </w:r>
      <w:proofErr w:type="gramStart"/>
      <w:r w:rsidRPr="003926EB">
        <w:t>соответствующими</w:t>
      </w:r>
      <w:proofErr w:type="gramEnd"/>
      <w:r w:rsidRPr="003926EB">
        <w:t xml:space="preserve"> условиям открытого запроса предложений</w:t>
      </w:r>
    </w:p>
    <w:p w:rsidR="0016144F" w:rsidRPr="003926EB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proofErr w:type="gramStart"/>
      <w:r w:rsidRPr="003926EB">
        <w:t xml:space="preserve">О </w:t>
      </w:r>
      <w:r w:rsidR="00F31D65" w:rsidRPr="003926EB">
        <w:t xml:space="preserve">предварительной </w:t>
      </w:r>
      <w:r w:rsidRPr="003926EB">
        <w:t>ранжировке Предложений</w:t>
      </w:r>
      <w:r w:rsidR="00F31D65" w:rsidRPr="003926EB">
        <w:t>,</w:t>
      </w:r>
      <w:r w:rsidRPr="003926EB">
        <w:t xml:space="preserve"> поступивших в ходе проведения процедуры открытого запроса предложений.</w:t>
      </w:r>
      <w:proofErr w:type="gramEnd"/>
    </w:p>
    <w:p w:rsidR="0016144F" w:rsidRPr="003926EB" w:rsidRDefault="00F31D65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3926EB">
        <w:t>О проведении процедуры переторжки</w:t>
      </w:r>
      <w:r w:rsidR="00285C1A" w:rsidRPr="003926EB">
        <w:t>.</w:t>
      </w:r>
    </w:p>
    <w:p w:rsidR="00E5479E" w:rsidRPr="003926EB" w:rsidRDefault="00E5479E" w:rsidP="004868B8">
      <w:pPr>
        <w:keepNext/>
        <w:spacing w:before="120"/>
        <w:jc w:val="both"/>
        <w:outlineLvl w:val="1"/>
        <w:rPr>
          <w:b/>
          <w:caps/>
        </w:rPr>
      </w:pPr>
      <w:r w:rsidRPr="003926EB">
        <w:rPr>
          <w:b/>
          <w:caps/>
        </w:rPr>
        <w:t>ВОПРОСЫ ЗАСЕДАНИЯ Закупочной КОМИССИИ:</w:t>
      </w:r>
    </w:p>
    <w:p w:rsidR="00E5479E" w:rsidRPr="003926EB" w:rsidRDefault="00F87183" w:rsidP="004868B8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3926EB">
        <w:rPr>
          <w:b/>
          <w:i/>
        </w:rPr>
        <w:t>О рассмотрении Отчета экспертной группы по оценке поступивших предложений</w:t>
      </w:r>
      <w:r w:rsidR="00E5479E" w:rsidRPr="003926EB">
        <w:rPr>
          <w:b/>
          <w:i/>
        </w:rPr>
        <w:t>.</w:t>
      </w:r>
    </w:p>
    <w:p w:rsidR="00E5479E" w:rsidRPr="003926EB" w:rsidRDefault="00E5479E" w:rsidP="004868B8">
      <w:pPr>
        <w:pStyle w:val="af2"/>
        <w:ind w:left="0" w:firstLine="567"/>
        <w:jc w:val="both"/>
      </w:pPr>
      <w:r w:rsidRPr="003926EB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3926EB" w:rsidRDefault="00E5479E" w:rsidP="004868B8">
      <w:pPr>
        <w:pStyle w:val="af2"/>
        <w:ind w:left="0" w:firstLine="567"/>
        <w:jc w:val="both"/>
      </w:pPr>
      <w:r w:rsidRPr="003926EB">
        <w:t xml:space="preserve">Закупочной комиссии предлагается </w:t>
      </w:r>
      <w:r w:rsidR="002E28AE" w:rsidRPr="003926EB">
        <w:t>одобрить</w:t>
      </w:r>
      <w:r w:rsidRPr="003926EB">
        <w:t xml:space="preserve"> Отчет экспертной группы по оценке предложений.</w:t>
      </w:r>
    </w:p>
    <w:p w:rsidR="00BF5AD0" w:rsidRPr="003926EB" w:rsidRDefault="00F44494" w:rsidP="00F44494">
      <w:pPr>
        <w:numPr>
          <w:ilvl w:val="0"/>
          <w:numId w:val="6"/>
        </w:numPr>
        <w:jc w:val="both"/>
        <w:rPr>
          <w:b/>
          <w:i/>
        </w:rPr>
      </w:pPr>
      <w:r w:rsidRPr="003926EB">
        <w:rPr>
          <w:b/>
          <w:i/>
        </w:rPr>
        <w:t>Об отклонении заявок участников открытого запроса предложений</w:t>
      </w:r>
    </w:p>
    <w:p w:rsidR="008766D7" w:rsidRPr="003926EB" w:rsidRDefault="008766D7" w:rsidP="008766D7">
      <w:pPr>
        <w:widowControl w:val="0"/>
        <w:snapToGrid w:val="0"/>
        <w:ind w:firstLine="567"/>
        <w:jc w:val="both"/>
        <w:outlineLvl w:val="2"/>
      </w:pPr>
      <w:r w:rsidRPr="003926EB">
        <w:lastRenderedPageBreak/>
        <w:t>Предлагается отклонить заявку:</w:t>
      </w:r>
    </w:p>
    <w:p w:rsidR="008766D7" w:rsidRPr="003926EB" w:rsidRDefault="008766D7" w:rsidP="008766D7">
      <w:pPr>
        <w:widowControl w:val="0"/>
        <w:numPr>
          <w:ilvl w:val="0"/>
          <w:numId w:val="38"/>
        </w:numPr>
        <w:tabs>
          <w:tab w:val="left" w:pos="993"/>
        </w:tabs>
        <w:snapToGrid w:val="0"/>
        <w:ind w:left="993" w:hanging="426"/>
        <w:jc w:val="both"/>
        <w:outlineLvl w:val="2"/>
      </w:pPr>
      <w:r w:rsidRPr="003926EB">
        <w:t>Общество с ограниченной ответственностью "ПРОМСНАБ", 656064, г. Барнаул, ул. Павловский тракт, 52Б (ИНН 2221223376, КПП 222101001, ОГРН 1152225023675) от дальнейшего участия в открытом запросе предложений в связи с тем, что заявка Участника содержит существенные нарушения требований Закупочной документации:</w:t>
      </w:r>
    </w:p>
    <w:p w:rsidR="008766D7" w:rsidRPr="003926EB" w:rsidRDefault="008766D7" w:rsidP="003926EB">
      <w:pPr>
        <w:pStyle w:val="af2"/>
        <w:widowControl w:val="0"/>
        <w:numPr>
          <w:ilvl w:val="0"/>
          <w:numId w:val="45"/>
        </w:numPr>
        <w:tabs>
          <w:tab w:val="left" w:pos="993"/>
        </w:tabs>
        <w:snapToGrid w:val="0"/>
        <w:jc w:val="both"/>
        <w:outlineLvl w:val="2"/>
        <w:rPr>
          <w:bCs/>
          <w:iCs/>
        </w:rPr>
      </w:pPr>
      <w:r w:rsidRPr="003926EB">
        <w:rPr>
          <w:bCs/>
          <w:iCs/>
        </w:rPr>
        <w:t>Участник не соответствует требованиям п. 5.2.2 Закупочной документации: показатели финансово-хозяйственной деятельности Участника закупки должны свидетельствовать о его платежеспособности и финансовой устойчивости (</w:t>
      </w:r>
      <w:r w:rsidR="003926EB" w:rsidRPr="003926EB">
        <w:rPr>
          <w:bCs/>
          <w:iCs/>
        </w:rPr>
        <w:t>с точки зрения финансовой устойчивости риски сотрудничества с участником оцениваются как высокие. Ряд финансовых показателей, выходят за рамки допустимых диапазонов. Стоимость планируемого договора является крупной в оценке м</w:t>
      </w:r>
      <w:r w:rsidR="003926EB">
        <w:rPr>
          <w:bCs/>
          <w:iCs/>
        </w:rPr>
        <w:t>асштабов деятельности участника</w:t>
      </w:r>
      <w:r w:rsidR="00C43180" w:rsidRPr="003926EB">
        <w:rPr>
          <w:bCs/>
          <w:iCs/>
        </w:rPr>
        <w:t>).</w:t>
      </w:r>
    </w:p>
    <w:p w:rsidR="00A11B7C" w:rsidRPr="003926EB" w:rsidRDefault="00A11B7C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3926EB">
        <w:rPr>
          <w:b/>
          <w:i/>
        </w:rPr>
        <w:t xml:space="preserve">О признании предложений </w:t>
      </w:r>
      <w:proofErr w:type="gramStart"/>
      <w:r w:rsidRPr="003926EB">
        <w:rPr>
          <w:b/>
          <w:i/>
        </w:rPr>
        <w:t>соответствующими</w:t>
      </w:r>
      <w:proofErr w:type="gramEnd"/>
      <w:r w:rsidRPr="003926EB">
        <w:rPr>
          <w:b/>
          <w:i/>
        </w:rPr>
        <w:t xml:space="preserve"> условиям открытого запроса предложений.</w:t>
      </w:r>
    </w:p>
    <w:p w:rsidR="00A11B7C" w:rsidRPr="003926EB" w:rsidRDefault="00A11B7C" w:rsidP="000242FC">
      <w:pPr>
        <w:ind w:firstLine="567"/>
        <w:jc w:val="both"/>
        <w:rPr>
          <w:lang w:val="en-US"/>
        </w:rPr>
      </w:pPr>
      <w:r w:rsidRPr="003926EB">
        <w:t>Предложени</w:t>
      </w:r>
      <w:r w:rsidR="00F87183" w:rsidRPr="003926EB">
        <w:t>я</w:t>
      </w:r>
      <w:r w:rsidRPr="003926EB">
        <w:t>, поступивш</w:t>
      </w:r>
      <w:r w:rsidR="00F87183" w:rsidRPr="003926EB">
        <w:t>и</w:t>
      </w:r>
      <w:r w:rsidRPr="003926EB">
        <w:t>е от участник</w:t>
      </w:r>
      <w:r w:rsidR="00F87183" w:rsidRPr="003926EB">
        <w:t>ов</w:t>
      </w:r>
      <w:r w:rsidRPr="003926EB">
        <w:t>:</w:t>
      </w:r>
    </w:p>
    <w:p w:rsidR="00BC376A" w:rsidRPr="003926EB" w:rsidRDefault="00BD3282" w:rsidP="00BC376A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3926EB">
        <w:t xml:space="preserve">Общество с ограниченной ответственностью </w:t>
      </w:r>
      <w:r w:rsidR="00A85AE6">
        <w:t>«</w:t>
      </w:r>
      <w:r w:rsidRPr="003926EB">
        <w:t>АЛЮКОР</w:t>
      </w:r>
      <w:r w:rsidR="00A85AE6">
        <w:t>»</w:t>
      </w:r>
      <w:r w:rsidRPr="003926EB">
        <w:t>, 660056, г. Красноярск, ул. Караульная, д. 31, оф. 503 (ИНН 2461220347, КПП 246601001, ОГРН 1122468067150)</w:t>
      </w:r>
      <w:r w:rsidR="00BC376A" w:rsidRPr="003926EB">
        <w:t>;</w:t>
      </w:r>
    </w:p>
    <w:p w:rsidR="00BC376A" w:rsidRPr="003926EB" w:rsidRDefault="00BC376A" w:rsidP="00BC376A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3926EB">
        <w:t>Общество с ограниченной ответственностью «АЛТАЙЭНЕРГОСОЮЗ», 656038, г. Барнаул, ул. Путиловская, д. 20, офис Н</w:t>
      </w:r>
      <w:proofErr w:type="gramStart"/>
      <w:r w:rsidRPr="003926EB">
        <w:t>7</w:t>
      </w:r>
      <w:proofErr w:type="gramEnd"/>
      <w:r w:rsidRPr="003926EB">
        <w:t xml:space="preserve"> (ИНН 2224167803, КПП 222401001, ОГРН 1142224003591);</w:t>
      </w:r>
    </w:p>
    <w:p w:rsidR="00BC376A" w:rsidRPr="003926EB" w:rsidRDefault="00BC376A" w:rsidP="00BC376A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3926EB">
        <w:t xml:space="preserve">Общество с ограниченной ответственностью </w:t>
      </w:r>
      <w:r w:rsidR="00A85AE6">
        <w:t>«</w:t>
      </w:r>
      <w:r w:rsidRPr="003926EB">
        <w:t>СИБИРЬСПЕЦПОСТАВКА</w:t>
      </w:r>
      <w:r w:rsidR="00A85AE6">
        <w:t>»</w:t>
      </w:r>
      <w:r w:rsidRPr="003926EB">
        <w:t>, 656016, г. Барнаул, проезд Рыбозаводской, д. 42, пом. Н-2 (ИНН 2221216499, КПП 222101001, ОГРН 1142225015888),</w:t>
      </w:r>
    </w:p>
    <w:p w:rsidR="00A11B7C" w:rsidRPr="003926EB" w:rsidRDefault="00A11B7C" w:rsidP="000242FC">
      <w:pPr>
        <w:tabs>
          <w:tab w:val="left" w:pos="851"/>
        </w:tabs>
        <w:ind w:firstLine="567"/>
        <w:jc w:val="both"/>
      </w:pPr>
      <w:r w:rsidRPr="003926EB">
        <w:t>предлагается признать удовлетворяющим</w:t>
      </w:r>
      <w:r w:rsidR="00F87183" w:rsidRPr="003926EB">
        <w:t>и</w:t>
      </w:r>
      <w:r w:rsidRPr="003926EB">
        <w:t xml:space="preserve"> основным условиям открытого запроса предложений. Закупочной комиссии предлагается принять данн</w:t>
      </w:r>
      <w:r w:rsidR="00F87183" w:rsidRPr="003926EB">
        <w:t>ы</w:t>
      </w:r>
      <w:r w:rsidRPr="003926EB">
        <w:t>е предложени</w:t>
      </w:r>
      <w:r w:rsidR="00F87183" w:rsidRPr="003926EB">
        <w:t>я</w:t>
      </w:r>
      <w:r w:rsidRPr="003926EB">
        <w:t xml:space="preserve"> к дальнейшему рассмотрению.</w:t>
      </w:r>
    </w:p>
    <w:p w:rsidR="00E5479E" w:rsidRPr="003926EB" w:rsidRDefault="00B56AF6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proofErr w:type="gramStart"/>
      <w:r w:rsidRPr="003926EB">
        <w:rPr>
          <w:b/>
          <w:i/>
        </w:rPr>
        <w:t>О предварительной ранжировке Предложений, поступивших в ходе проведения процедуры открытого запроса предложений</w:t>
      </w:r>
      <w:r w:rsidR="00E5479E" w:rsidRPr="003926EB">
        <w:rPr>
          <w:b/>
          <w:i/>
        </w:rPr>
        <w:t>.</w:t>
      </w:r>
      <w:proofErr w:type="gramEnd"/>
    </w:p>
    <w:p w:rsidR="00A728C4" w:rsidRPr="003926EB" w:rsidRDefault="00475180" w:rsidP="000242FC">
      <w:pPr>
        <w:ind w:firstLine="567"/>
        <w:jc w:val="both"/>
      </w:pPr>
      <w:r w:rsidRPr="003926EB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  <w:r w:rsidR="00A728C4" w:rsidRPr="003926EB">
        <w:t xml:space="preserve"> </w:t>
      </w:r>
    </w:p>
    <w:p w:rsidR="00E330B5" w:rsidRPr="003926EB" w:rsidRDefault="00216AED" w:rsidP="0090323D">
      <w:pPr>
        <w:ind w:right="-2" w:firstLine="567"/>
        <w:jc w:val="both"/>
      </w:pPr>
      <w:r w:rsidRPr="003926EB">
        <w:rPr>
          <w:b/>
        </w:rPr>
        <w:t xml:space="preserve">первое место: </w:t>
      </w:r>
      <w:r w:rsidRPr="003926EB">
        <w:t xml:space="preserve">Общество с ограниченной ответственностью </w:t>
      </w:r>
      <w:r w:rsidR="00BD7112">
        <w:t>«</w:t>
      </w:r>
      <w:r w:rsidRPr="003926EB">
        <w:t>АЛЮКОР</w:t>
      </w:r>
      <w:r w:rsidR="00BD7112">
        <w:t>»</w:t>
      </w:r>
      <w:r w:rsidRPr="003926EB">
        <w:t xml:space="preserve">, 660056, г. Красноярск, ул. Караульная, д. 31, оф. 503 (ИНН 2461220347, КПП 246601001, ОГРН 1122468067150), предложение на поставку товаров общей стоимостью 545 625,62 руб. без НДС. Срок поставки: август 2016г. – сентябрь 2016г. Условия оплаты: в течение 30 календарных дней </w:t>
      </w:r>
      <w:proofErr w:type="gramStart"/>
      <w:r w:rsidRPr="003926EB">
        <w:t>с даты подписания</w:t>
      </w:r>
      <w:proofErr w:type="gramEnd"/>
      <w:r w:rsidRPr="003926EB">
        <w:t xml:space="preserve"> Покупателем Товарной накладной. Гарантийный срок:</w:t>
      </w:r>
      <w:r w:rsidR="001256A2" w:rsidRPr="003926EB">
        <w:t xml:space="preserve"> 12 месяцев с момента приемки оборудования.</w:t>
      </w:r>
      <w:r w:rsidR="00E330B5" w:rsidRPr="003926EB">
        <w:t xml:space="preserve"> Товар, подлежащий периодической государственной поверке, содержит соответствующую отметку в паспорте. Срок действия поверки соответствует требованиям Приказа Минэнерго РФ от 30.06.2003 N 261 «Об утверждении инструкции по применению и испытанию средств защиты, используемых в электроустановках». Установленная дата поверки не превышает дату поставки более чем на 3 месяца. Срок первичной поверки менее одного года </w:t>
      </w:r>
      <w:proofErr w:type="gramStart"/>
      <w:r w:rsidR="00E330B5" w:rsidRPr="003926EB">
        <w:t>с даты поставки</w:t>
      </w:r>
      <w:proofErr w:type="gramEnd"/>
      <w:r w:rsidR="00E330B5" w:rsidRPr="003926EB">
        <w:t xml:space="preserve"> Покупателю.</w:t>
      </w:r>
    </w:p>
    <w:p w:rsidR="00706C39" w:rsidRPr="003926EB" w:rsidRDefault="00216AED" w:rsidP="0090323D">
      <w:pPr>
        <w:ind w:right="-2" w:firstLine="567"/>
        <w:jc w:val="both"/>
        <w:rPr>
          <w:bCs/>
        </w:rPr>
      </w:pPr>
      <w:r w:rsidRPr="003926EB">
        <w:rPr>
          <w:b/>
        </w:rPr>
        <w:t>второе</w:t>
      </w:r>
      <w:r w:rsidR="00353509" w:rsidRPr="003926EB">
        <w:rPr>
          <w:b/>
        </w:rPr>
        <w:t xml:space="preserve"> место:</w:t>
      </w:r>
      <w:r w:rsidR="009E2F4D" w:rsidRPr="003926EB">
        <w:rPr>
          <w:b/>
        </w:rPr>
        <w:t xml:space="preserve"> </w:t>
      </w:r>
      <w:r w:rsidR="009E2F4D" w:rsidRPr="003926EB">
        <w:t xml:space="preserve">Общество с ограниченной ответственностью </w:t>
      </w:r>
      <w:r w:rsidR="00BD7112">
        <w:t>«</w:t>
      </w:r>
      <w:r w:rsidR="009E2F4D" w:rsidRPr="003926EB">
        <w:t>СИБИРЬСПЕЦПОСТАВКА</w:t>
      </w:r>
      <w:r w:rsidR="00BD7112">
        <w:t>»</w:t>
      </w:r>
      <w:r w:rsidR="009E2F4D" w:rsidRPr="003926EB">
        <w:t>, 656016, г. Барнаул, проезд Рыбозаводской, д. 42, пом. Н-2 (ИНН 2221216499, КПП 222101001, ОГРН 1142225015888)</w:t>
      </w:r>
      <w:r w:rsidR="00F46EB7" w:rsidRPr="003926EB">
        <w:t>,</w:t>
      </w:r>
      <w:r w:rsidR="00706C39" w:rsidRPr="003926EB">
        <w:t xml:space="preserve"> </w:t>
      </w:r>
      <w:r w:rsidR="00F46EB7" w:rsidRPr="003926EB">
        <w:t xml:space="preserve">предложение на поставку товаров общей стоимостью </w:t>
      </w:r>
      <w:r w:rsidR="001717AD" w:rsidRPr="003926EB">
        <w:t xml:space="preserve">666 539,44 </w:t>
      </w:r>
      <w:r w:rsidR="00CF6004" w:rsidRPr="003926EB">
        <w:t>руб. без НДС.</w:t>
      </w:r>
      <w:r w:rsidR="001717AD" w:rsidRPr="003926EB">
        <w:t xml:space="preserve"> Срок поставки: август 2016г. – сентябрь 2016г. Отгрузка Товара осуществляется в течение 3 календарных дней </w:t>
      </w:r>
      <w:proofErr w:type="gramStart"/>
      <w:r w:rsidR="001717AD" w:rsidRPr="003926EB">
        <w:t>с даты получения</w:t>
      </w:r>
      <w:proofErr w:type="gramEnd"/>
      <w:r w:rsidR="001717AD" w:rsidRPr="003926EB">
        <w:t xml:space="preserve"> письменной заявки Покупателя. Условия оплаты: в течение 30 календарных </w:t>
      </w:r>
      <w:r w:rsidR="001717AD" w:rsidRPr="003926EB">
        <w:lastRenderedPageBreak/>
        <w:t>дней с момента поставки партии товара. Гарантийный срок: в соответствии с гарантией производителя, но не менее 12 месяцев с момента приемки товара Покупателем.</w:t>
      </w:r>
      <w:r w:rsidR="00921017" w:rsidRPr="003926EB">
        <w:t xml:space="preserve"> Продукция, подлежащая периодической государственной поверке, имеет документы, подтверждающие наличие действующего заключения государственной поверки о соответствии нормам и требованиям, предъявляемым к конкретному оборудованию или инструменту.</w:t>
      </w:r>
    </w:p>
    <w:p w:rsidR="004A62EC" w:rsidRPr="003926EB" w:rsidRDefault="00287370" w:rsidP="0090323D">
      <w:pPr>
        <w:ind w:right="-2" w:firstLine="567"/>
        <w:jc w:val="both"/>
        <w:rPr>
          <w:bCs/>
        </w:rPr>
      </w:pPr>
      <w:r w:rsidRPr="003926EB">
        <w:rPr>
          <w:b/>
        </w:rPr>
        <w:t xml:space="preserve">третье место: </w:t>
      </w:r>
      <w:r w:rsidRPr="003926EB">
        <w:t>Общество с ограниченной ответственностью «АЛТАЙЭНЕРГОСОЮЗ», 656038, г. Барнаул, ул. Путиловская, д. 20, офис Н</w:t>
      </w:r>
      <w:proofErr w:type="gramStart"/>
      <w:r w:rsidRPr="003926EB">
        <w:t>7</w:t>
      </w:r>
      <w:proofErr w:type="gramEnd"/>
      <w:r w:rsidRPr="003926EB">
        <w:t xml:space="preserve"> (ИНН 2224167803, КПП 222401001, ОГРН 1142224003591); предложение на поставку товаров общей стоимостью </w:t>
      </w:r>
      <w:r w:rsidR="00351DFE" w:rsidRPr="003926EB">
        <w:t xml:space="preserve">666 100,28 </w:t>
      </w:r>
      <w:r w:rsidRPr="003926EB">
        <w:t xml:space="preserve">руб. без НДС. </w:t>
      </w:r>
      <w:r w:rsidR="007553C8" w:rsidRPr="003926EB">
        <w:t xml:space="preserve">Поставка по заявкам Покупателя в течение 3 календарных дней. Условия оплаты: отсрочка платежа 30 календарных дней. </w:t>
      </w:r>
      <w:r w:rsidR="001256A2" w:rsidRPr="003926EB">
        <w:t>Гарантия на предлагаемые к поставке материалы, установленная заводом изготовителем в соответствии с государственным стандартом, но не менее 12 месяцев с момента приемки оборудования по транспортной накладной. Предлагаемая продукция, которая подлежит государственной поверке, будет поставляться с действующей государственной поверкой, подтверждаемой соответствующими записями в паспортах и/или предоставлением протоколов испытаний.</w:t>
      </w:r>
    </w:p>
    <w:p w:rsidR="00A11B7C" w:rsidRPr="003926EB" w:rsidRDefault="00B56AF6" w:rsidP="000242FC">
      <w:pPr>
        <w:pStyle w:val="af2"/>
        <w:numPr>
          <w:ilvl w:val="0"/>
          <w:numId w:val="6"/>
        </w:numPr>
        <w:tabs>
          <w:tab w:val="clear" w:pos="1134"/>
          <w:tab w:val="left" w:pos="851"/>
        </w:tabs>
        <w:ind w:right="-2"/>
        <w:jc w:val="both"/>
        <w:rPr>
          <w:b/>
          <w:i/>
        </w:rPr>
      </w:pPr>
      <w:r w:rsidRPr="003926EB">
        <w:rPr>
          <w:b/>
          <w:bCs/>
          <w:i/>
          <w:iCs/>
        </w:rPr>
        <w:t>О проведении процедуры переторжки</w:t>
      </w:r>
      <w:r w:rsidR="00A11B7C" w:rsidRPr="003926EB">
        <w:rPr>
          <w:b/>
          <w:i/>
        </w:rPr>
        <w:t>.</w:t>
      </w:r>
    </w:p>
    <w:p w:rsidR="00E66EE5" w:rsidRPr="003926EB" w:rsidRDefault="00B56AF6" w:rsidP="000242FC">
      <w:pPr>
        <w:ind w:right="-2" w:firstLine="567"/>
        <w:contextualSpacing/>
        <w:jc w:val="both"/>
      </w:pPr>
      <w:r w:rsidRPr="003926EB">
        <w:t>Предлагается провести процедуру заочной переторжки среди Участников запроса предложений, заявки, которых признаны соответствующими условиям открытого запроса предложений.</w:t>
      </w:r>
    </w:p>
    <w:p w:rsidR="00CE27D4" w:rsidRPr="002A1573" w:rsidRDefault="00CE27D4" w:rsidP="004868B8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</w:p>
    <w:p w:rsidR="00E5479E" w:rsidRPr="003926EB" w:rsidRDefault="00E5479E" w:rsidP="004868B8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r w:rsidRPr="003926EB">
        <w:rPr>
          <w:b/>
          <w:caps/>
        </w:rPr>
        <w:t>РЕШИЛИ:</w:t>
      </w:r>
    </w:p>
    <w:p w:rsidR="00E5479E" w:rsidRPr="003926EB" w:rsidRDefault="00E5479E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3926EB">
        <w:t>Одобрить Отчет экспертной группы по оценке Предложений.</w:t>
      </w:r>
    </w:p>
    <w:p w:rsidR="00430056" w:rsidRPr="003926EB" w:rsidRDefault="008766D7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3926EB">
        <w:t xml:space="preserve">Отклонить заявку: Общество с ограниченной ответственностью </w:t>
      </w:r>
      <w:r w:rsidR="00702EAA">
        <w:t>«</w:t>
      </w:r>
      <w:r w:rsidR="00702EAA" w:rsidRPr="003926EB">
        <w:t>ПРОМСНАБ</w:t>
      </w:r>
      <w:r w:rsidR="00702EAA">
        <w:t>»</w:t>
      </w:r>
      <w:r w:rsidRPr="003926EB">
        <w:t>, г. Барнаул от дальнейшего участия в открытом запросе предложений в соответствии с п. 4.14.2.4 Закупочной документации.</w:t>
      </w:r>
    </w:p>
    <w:p w:rsidR="009679FE" w:rsidRPr="003926EB" w:rsidRDefault="009679FE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3926EB">
        <w:t>Признать Предложени</w:t>
      </w:r>
      <w:r w:rsidR="00493BF8" w:rsidRPr="003926EB">
        <w:t>я</w:t>
      </w:r>
      <w:r w:rsidRPr="003926EB">
        <w:t xml:space="preserve">: </w:t>
      </w:r>
      <w:r w:rsidR="004A62EC" w:rsidRPr="003926EB">
        <w:t xml:space="preserve">Общество с ограниченной ответственностью </w:t>
      </w:r>
      <w:r w:rsidR="00A03474">
        <w:t>«</w:t>
      </w:r>
      <w:r w:rsidR="007F2DA3" w:rsidRPr="003926EB">
        <w:t>АЛЮКОР</w:t>
      </w:r>
      <w:r w:rsidR="00A03474">
        <w:t>»</w:t>
      </w:r>
      <w:r w:rsidR="004A62EC" w:rsidRPr="003926EB">
        <w:t xml:space="preserve">, г. </w:t>
      </w:r>
      <w:r w:rsidR="007F2DA3" w:rsidRPr="003926EB">
        <w:t>Красноярск</w:t>
      </w:r>
      <w:r w:rsidR="004A62EC" w:rsidRPr="003926EB">
        <w:t xml:space="preserve">, Общество с ограниченной ответственностью «АЛТАЙЭНЕРГОСОЮЗ», г. Барнаул, Общество с ограниченной ответственностью </w:t>
      </w:r>
      <w:r w:rsidR="00A03474">
        <w:t>«</w:t>
      </w:r>
      <w:r w:rsidR="004A62EC" w:rsidRPr="003926EB">
        <w:t>СИБИРЬСПЕЦПОСТАВКА</w:t>
      </w:r>
      <w:r w:rsidR="00A03474">
        <w:t>»</w:t>
      </w:r>
      <w:r w:rsidR="004A62EC" w:rsidRPr="003926EB">
        <w:t>, г. Барнаул</w:t>
      </w:r>
      <w:r w:rsidR="00706C39" w:rsidRPr="003926EB">
        <w:t xml:space="preserve"> </w:t>
      </w:r>
      <w:r w:rsidR="00F63789" w:rsidRPr="003926EB">
        <w:t>соответствующими по существу условиям открытого запроса предложений</w:t>
      </w:r>
      <w:r w:rsidRPr="003926EB">
        <w:t>.</w:t>
      </w:r>
    </w:p>
    <w:p w:rsidR="00E5479E" w:rsidRPr="003926EB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3926EB">
        <w:t xml:space="preserve">Утвердить </w:t>
      </w:r>
      <w:proofErr w:type="gramStart"/>
      <w:r w:rsidRPr="003926EB">
        <w:t>предварительную</w:t>
      </w:r>
      <w:proofErr w:type="gramEnd"/>
      <w:r w:rsidRPr="003926EB">
        <w:t xml:space="preserve"> ранжировку предложений</w:t>
      </w:r>
      <w:r w:rsidR="00E5479E" w:rsidRPr="003926EB">
        <w:t>.</w:t>
      </w:r>
    </w:p>
    <w:p w:rsidR="00E5479E" w:rsidRPr="003926EB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proofErr w:type="gramStart"/>
      <w:r w:rsidRPr="003926EB">
        <w:t xml:space="preserve">Провести процедуру переторжки в соответствии с правилами, определенными закупочной документацией </w:t>
      </w:r>
      <w:r w:rsidR="00706C39" w:rsidRPr="003926EB">
        <w:t>открытого запроса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 «</w:t>
      </w:r>
      <w:r w:rsidR="007F2DA3" w:rsidRPr="003926EB">
        <w:t>Специальное оборудование и инструмент, расходные материалы</w:t>
      </w:r>
      <w:r w:rsidR="00706C39" w:rsidRPr="003926EB">
        <w:t xml:space="preserve">» для нужд АО «Алтайэнергосбыт» </w:t>
      </w:r>
      <w:r w:rsidRPr="003926EB">
        <w:t>и направить уведомления Участникам запроса предложений, заявки, которых признаны соответствующими условиям открытого запроса предложений.</w:t>
      </w:r>
      <w:proofErr w:type="gramEnd"/>
      <w:r w:rsidRPr="003926EB">
        <w:t xml:space="preserve"> </w:t>
      </w:r>
      <w:r w:rsidR="00F966D6" w:rsidRPr="003926EB">
        <w:t>Процедуру переторжки провести в заочной, электронной форме</w:t>
      </w:r>
      <w:r w:rsidRPr="003926EB">
        <w:t>.</w:t>
      </w:r>
    </w:p>
    <w:p w:rsidR="00E5479E" w:rsidRPr="003926EB" w:rsidRDefault="00E5479E" w:rsidP="00044119">
      <w:pPr>
        <w:widowControl w:val="0"/>
        <w:tabs>
          <w:tab w:val="left" w:pos="426"/>
        </w:tabs>
        <w:jc w:val="both"/>
      </w:pPr>
    </w:p>
    <w:p w:rsidR="00F772B5" w:rsidRPr="003926EB" w:rsidRDefault="00F772B5" w:rsidP="00F772B5">
      <w:pPr>
        <w:ind w:right="140"/>
        <w:jc w:val="both"/>
        <w:rPr>
          <w:b/>
          <w:caps/>
        </w:rPr>
      </w:pPr>
      <w:r w:rsidRPr="003926EB">
        <w:rPr>
          <w:b/>
        </w:rPr>
        <w:t>РЕЗУЛЬТАТЫ ГОЛОСОВАНИЯ:</w:t>
      </w:r>
    </w:p>
    <w:p w:rsidR="00F772B5" w:rsidRPr="003926EB" w:rsidRDefault="00F772B5" w:rsidP="00F772B5">
      <w:pPr>
        <w:ind w:right="140"/>
        <w:jc w:val="both"/>
      </w:pPr>
      <w:r w:rsidRPr="003926EB">
        <w:t>«За»</w:t>
      </w:r>
      <w:r w:rsidRPr="003926EB">
        <w:rPr>
          <w:u w:val="single"/>
        </w:rPr>
        <w:t xml:space="preserve">  </w:t>
      </w:r>
      <w:r w:rsidR="005779D9" w:rsidRPr="003926EB">
        <w:rPr>
          <w:u w:val="single"/>
          <w:lang w:val="en-US"/>
        </w:rPr>
        <w:t>4</w:t>
      </w:r>
      <w:r w:rsidRPr="003926EB">
        <w:rPr>
          <w:u w:val="single"/>
        </w:rPr>
        <w:t xml:space="preserve">   </w:t>
      </w:r>
      <w:r w:rsidRPr="003926EB">
        <w:t>членов закупочной комиссии.</w:t>
      </w:r>
    </w:p>
    <w:p w:rsidR="00F772B5" w:rsidRPr="003926EB" w:rsidRDefault="00F772B5" w:rsidP="00F772B5">
      <w:pPr>
        <w:ind w:right="140"/>
        <w:jc w:val="both"/>
      </w:pPr>
      <w:r w:rsidRPr="003926EB">
        <w:t>«Против»</w:t>
      </w:r>
      <w:r w:rsidRPr="003926EB">
        <w:rPr>
          <w:u w:val="single"/>
        </w:rPr>
        <w:t xml:space="preserve"> 0 </w:t>
      </w:r>
      <w:r w:rsidRPr="003926EB">
        <w:t>членов закупочной комиссии.</w:t>
      </w:r>
    </w:p>
    <w:p w:rsidR="00F772B5" w:rsidRPr="003926EB" w:rsidRDefault="00F772B5" w:rsidP="00F772B5">
      <w:pPr>
        <w:ind w:right="140"/>
        <w:jc w:val="both"/>
      </w:pPr>
      <w:r w:rsidRPr="003926EB">
        <w:t>«Воздержалось»</w:t>
      </w:r>
      <w:r w:rsidRPr="003926EB">
        <w:rPr>
          <w:u w:val="single"/>
        </w:rPr>
        <w:t xml:space="preserve"> 0 </w:t>
      </w:r>
      <w:r w:rsidRPr="003926EB">
        <w:t>членов закупочной комиссии.</w:t>
      </w:r>
      <w:bookmarkStart w:id="0" w:name="_GoBack"/>
      <w:bookmarkEnd w:id="0"/>
    </w:p>
    <w:sectPr w:rsidR="00F772B5" w:rsidRPr="003926EB" w:rsidSect="00174D3D">
      <w:footerReference w:type="default" r:id="rId10"/>
      <w:pgSz w:w="11906" w:h="16838"/>
      <w:pgMar w:top="851" w:right="851" w:bottom="1843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250858" w:rsidRPr="00250858">
      <w:rPr>
        <w:b/>
        <w:sz w:val="20"/>
        <w:szCs w:val="20"/>
      </w:rPr>
      <w:t>880.16.00</w:t>
    </w:r>
    <w:r w:rsidR="00BF5AD0" w:rsidRPr="00BF5AD0">
      <w:rPr>
        <w:b/>
        <w:sz w:val="20"/>
        <w:szCs w:val="20"/>
      </w:rPr>
      <w:t>009</w:t>
    </w:r>
    <w:r w:rsidRPr="00794B2F">
      <w:rPr>
        <w:b/>
        <w:sz w:val="20"/>
        <w:szCs w:val="20"/>
      </w:rPr>
      <w:t>/ОЗП-ПП</w:t>
    </w:r>
    <w:r w:rsidR="009F0E6A"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2A1573" w:rsidRPr="002A1573">
      <w:rPr>
        <w:b/>
        <w:sz w:val="20"/>
        <w:szCs w:val="20"/>
      </w:rPr>
      <w:t>18</w:t>
    </w:r>
    <w:r w:rsidRPr="00794B2F">
      <w:rPr>
        <w:b/>
        <w:sz w:val="20"/>
        <w:szCs w:val="20"/>
      </w:rPr>
      <w:t xml:space="preserve">» </w:t>
    </w:r>
    <w:r w:rsidR="00CD1BB9">
      <w:rPr>
        <w:b/>
        <w:sz w:val="20"/>
        <w:szCs w:val="20"/>
      </w:rPr>
      <w:t>июля</w:t>
    </w:r>
    <w:r w:rsidR="0025085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9F0E6A" w:rsidRPr="009F0E6A">
      <w:rPr>
        <w:sz w:val="20"/>
        <w:szCs w:val="20"/>
      </w:rPr>
      <w:t>по оценке предложений и проведению процедуры переторжки (регулирования цены) по открытому запросу предложений</w:t>
    </w:r>
  </w:p>
  <w:p w:rsidR="00D36849" w:rsidRDefault="00D36849" w:rsidP="00174D3D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174D3D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30D9F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E4BE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60850E">
      <w:start w:val="1"/>
      <w:numFmt w:val="decimal"/>
      <w:lvlText w:val="%2)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0F7B"/>
    <w:multiLevelType w:val="multilevel"/>
    <w:tmpl w:val="260C0E9E"/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80137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BE40020"/>
    <w:multiLevelType w:val="hybridMultilevel"/>
    <w:tmpl w:val="05969CB8"/>
    <w:lvl w:ilvl="0" w:tplc="7D3AB2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75BD2"/>
    <w:multiLevelType w:val="hybridMultilevel"/>
    <w:tmpl w:val="A386E90E"/>
    <w:lvl w:ilvl="0" w:tplc="690A2C62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B2260C"/>
    <w:multiLevelType w:val="hybridMultilevel"/>
    <w:tmpl w:val="AFF82DA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7"/>
  </w:num>
  <w:num w:numId="9">
    <w:abstractNumId w:val="3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6"/>
  </w:num>
  <w:num w:numId="18">
    <w:abstractNumId w:val="17"/>
  </w:num>
  <w:num w:numId="19">
    <w:abstractNumId w:val="32"/>
  </w:num>
  <w:num w:numId="20">
    <w:abstractNumId w:val="11"/>
  </w:num>
  <w:num w:numId="21">
    <w:abstractNumId w:val="25"/>
  </w:num>
  <w:num w:numId="22">
    <w:abstractNumId w:val="34"/>
  </w:num>
  <w:num w:numId="23">
    <w:abstractNumId w:val="24"/>
  </w:num>
  <w:num w:numId="24">
    <w:abstractNumId w:val="9"/>
  </w:num>
  <w:num w:numId="25">
    <w:abstractNumId w:val="35"/>
  </w:num>
  <w:num w:numId="26">
    <w:abstractNumId w:val="39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3"/>
  </w:num>
  <w:num w:numId="33">
    <w:abstractNumId w:val="12"/>
  </w:num>
  <w:num w:numId="34">
    <w:abstractNumId w:va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3"/>
  </w:num>
  <w:num w:numId="42">
    <w:abstractNumId w:val="5"/>
  </w:num>
  <w:num w:numId="43">
    <w:abstractNumId w:val="7"/>
  </w:num>
  <w:num w:numId="44">
    <w:abstractNumId w:val="28"/>
  </w:num>
  <w:num w:numId="45">
    <w:abstractNumId w:val="10"/>
  </w:num>
  <w:num w:numId="46">
    <w:abstractNumId w:val="23"/>
  </w:num>
  <w:num w:numId="47">
    <w:abstractNumId w:val="26"/>
  </w:num>
  <w:num w:numId="48">
    <w:abstractNumId w:val="38"/>
  </w:num>
  <w:num w:numId="49">
    <w:abstractNumId w:val="1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42FC"/>
    <w:rsid w:val="000252F7"/>
    <w:rsid w:val="0003039F"/>
    <w:rsid w:val="0003041D"/>
    <w:rsid w:val="00030D9F"/>
    <w:rsid w:val="00034BDD"/>
    <w:rsid w:val="000353F3"/>
    <w:rsid w:val="00037A1C"/>
    <w:rsid w:val="00040771"/>
    <w:rsid w:val="00041280"/>
    <w:rsid w:val="0004173E"/>
    <w:rsid w:val="00041D2F"/>
    <w:rsid w:val="00042F62"/>
    <w:rsid w:val="00044119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B72CF"/>
    <w:rsid w:val="000C045C"/>
    <w:rsid w:val="000C13A4"/>
    <w:rsid w:val="000C1474"/>
    <w:rsid w:val="000C44E3"/>
    <w:rsid w:val="000C4CB3"/>
    <w:rsid w:val="000C5B7E"/>
    <w:rsid w:val="000C6B44"/>
    <w:rsid w:val="000C7C9B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409C"/>
    <w:rsid w:val="001177CD"/>
    <w:rsid w:val="00120DE4"/>
    <w:rsid w:val="00123012"/>
    <w:rsid w:val="001256A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80"/>
    <w:rsid w:val="001706C1"/>
    <w:rsid w:val="001717AD"/>
    <w:rsid w:val="00173EA1"/>
    <w:rsid w:val="00174D3D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16AED"/>
    <w:rsid w:val="002224F3"/>
    <w:rsid w:val="002239B7"/>
    <w:rsid w:val="00223F09"/>
    <w:rsid w:val="002262D1"/>
    <w:rsid w:val="00227D9B"/>
    <w:rsid w:val="00231463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085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87370"/>
    <w:rsid w:val="00290A60"/>
    <w:rsid w:val="00293B79"/>
    <w:rsid w:val="0029507B"/>
    <w:rsid w:val="002A1573"/>
    <w:rsid w:val="002A3294"/>
    <w:rsid w:val="002A32AC"/>
    <w:rsid w:val="002A5829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408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1DFE"/>
    <w:rsid w:val="003533EA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6EB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E6EFE"/>
    <w:rsid w:val="003E7A8C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07B36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27F83"/>
    <w:rsid w:val="00430056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68B8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A62EC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23EA"/>
    <w:rsid w:val="0051475F"/>
    <w:rsid w:val="00514EDD"/>
    <w:rsid w:val="0051732D"/>
    <w:rsid w:val="00520636"/>
    <w:rsid w:val="005218E3"/>
    <w:rsid w:val="005223CA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3B1D"/>
    <w:rsid w:val="005559A8"/>
    <w:rsid w:val="00561AEC"/>
    <w:rsid w:val="0056232D"/>
    <w:rsid w:val="00573A48"/>
    <w:rsid w:val="00574B38"/>
    <w:rsid w:val="00574FBA"/>
    <w:rsid w:val="00576188"/>
    <w:rsid w:val="005779D9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50A0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2FE7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2EAA"/>
    <w:rsid w:val="00703D23"/>
    <w:rsid w:val="00704723"/>
    <w:rsid w:val="00704B6F"/>
    <w:rsid w:val="00706232"/>
    <w:rsid w:val="00706C39"/>
    <w:rsid w:val="007072C5"/>
    <w:rsid w:val="00707782"/>
    <w:rsid w:val="007115F9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44787"/>
    <w:rsid w:val="007501FB"/>
    <w:rsid w:val="007553C8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5FF8"/>
    <w:rsid w:val="007E6A8C"/>
    <w:rsid w:val="007E742D"/>
    <w:rsid w:val="007F02A9"/>
    <w:rsid w:val="007F2DA3"/>
    <w:rsid w:val="007F4251"/>
    <w:rsid w:val="007F47A0"/>
    <w:rsid w:val="007F6EC1"/>
    <w:rsid w:val="007F7FBB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66D7"/>
    <w:rsid w:val="008807D2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323D"/>
    <w:rsid w:val="00904D34"/>
    <w:rsid w:val="009061EF"/>
    <w:rsid w:val="00906F49"/>
    <w:rsid w:val="0090754B"/>
    <w:rsid w:val="00907AFF"/>
    <w:rsid w:val="00914103"/>
    <w:rsid w:val="00915C63"/>
    <w:rsid w:val="00915E0A"/>
    <w:rsid w:val="00921017"/>
    <w:rsid w:val="009214FF"/>
    <w:rsid w:val="009225F5"/>
    <w:rsid w:val="009251D3"/>
    <w:rsid w:val="009259F9"/>
    <w:rsid w:val="009266EA"/>
    <w:rsid w:val="00933C8D"/>
    <w:rsid w:val="00937462"/>
    <w:rsid w:val="00940FB3"/>
    <w:rsid w:val="0094262B"/>
    <w:rsid w:val="009442D0"/>
    <w:rsid w:val="0094570B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6F17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F4D"/>
    <w:rsid w:val="009E3AD3"/>
    <w:rsid w:val="009F0E6A"/>
    <w:rsid w:val="009F2C5B"/>
    <w:rsid w:val="009F3D9D"/>
    <w:rsid w:val="009F4728"/>
    <w:rsid w:val="009F6066"/>
    <w:rsid w:val="00A03474"/>
    <w:rsid w:val="00A06B7F"/>
    <w:rsid w:val="00A07589"/>
    <w:rsid w:val="00A11B7C"/>
    <w:rsid w:val="00A12245"/>
    <w:rsid w:val="00A13138"/>
    <w:rsid w:val="00A131AC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1F54"/>
    <w:rsid w:val="00A5214C"/>
    <w:rsid w:val="00A5378E"/>
    <w:rsid w:val="00A550AB"/>
    <w:rsid w:val="00A5518F"/>
    <w:rsid w:val="00A563A1"/>
    <w:rsid w:val="00A57CBD"/>
    <w:rsid w:val="00A728C4"/>
    <w:rsid w:val="00A73752"/>
    <w:rsid w:val="00A74B80"/>
    <w:rsid w:val="00A74D05"/>
    <w:rsid w:val="00A74F6D"/>
    <w:rsid w:val="00A77184"/>
    <w:rsid w:val="00A7754B"/>
    <w:rsid w:val="00A8321B"/>
    <w:rsid w:val="00A83592"/>
    <w:rsid w:val="00A85AE6"/>
    <w:rsid w:val="00A93310"/>
    <w:rsid w:val="00A9349D"/>
    <w:rsid w:val="00A94FC7"/>
    <w:rsid w:val="00A970BC"/>
    <w:rsid w:val="00A9734D"/>
    <w:rsid w:val="00A976D2"/>
    <w:rsid w:val="00AA1B9A"/>
    <w:rsid w:val="00AA40C2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76A"/>
    <w:rsid w:val="00BC3CC6"/>
    <w:rsid w:val="00BD3282"/>
    <w:rsid w:val="00BD7112"/>
    <w:rsid w:val="00BE01D1"/>
    <w:rsid w:val="00BE3AB8"/>
    <w:rsid w:val="00BE5570"/>
    <w:rsid w:val="00BE6850"/>
    <w:rsid w:val="00BE779D"/>
    <w:rsid w:val="00BF01B4"/>
    <w:rsid w:val="00BF5AD0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180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C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1BB9"/>
    <w:rsid w:val="00CD2D4F"/>
    <w:rsid w:val="00CD3814"/>
    <w:rsid w:val="00CE2542"/>
    <w:rsid w:val="00CE27D4"/>
    <w:rsid w:val="00CE45A2"/>
    <w:rsid w:val="00CF0EA7"/>
    <w:rsid w:val="00CF244E"/>
    <w:rsid w:val="00CF3B5A"/>
    <w:rsid w:val="00CF6004"/>
    <w:rsid w:val="00CF626F"/>
    <w:rsid w:val="00D00AF1"/>
    <w:rsid w:val="00D04E1D"/>
    <w:rsid w:val="00D05C32"/>
    <w:rsid w:val="00D1683D"/>
    <w:rsid w:val="00D20490"/>
    <w:rsid w:val="00D20BD9"/>
    <w:rsid w:val="00D21131"/>
    <w:rsid w:val="00D306CA"/>
    <w:rsid w:val="00D3071B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57F7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0B5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59FD"/>
    <w:rsid w:val="00E565DE"/>
    <w:rsid w:val="00E6308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4B98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450"/>
    <w:rsid w:val="00F1799B"/>
    <w:rsid w:val="00F247CA"/>
    <w:rsid w:val="00F25008"/>
    <w:rsid w:val="00F272A5"/>
    <w:rsid w:val="00F31D65"/>
    <w:rsid w:val="00F336FF"/>
    <w:rsid w:val="00F36404"/>
    <w:rsid w:val="00F367C8"/>
    <w:rsid w:val="00F41BE5"/>
    <w:rsid w:val="00F4388C"/>
    <w:rsid w:val="00F443BE"/>
    <w:rsid w:val="00F44494"/>
    <w:rsid w:val="00F45402"/>
    <w:rsid w:val="00F46720"/>
    <w:rsid w:val="00F46EB7"/>
    <w:rsid w:val="00F52BD4"/>
    <w:rsid w:val="00F53700"/>
    <w:rsid w:val="00F57193"/>
    <w:rsid w:val="00F572E4"/>
    <w:rsid w:val="00F62BAA"/>
    <w:rsid w:val="00F63789"/>
    <w:rsid w:val="00F63AFD"/>
    <w:rsid w:val="00F65354"/>
    <w:rsid w:val="00F654BF"/>
    <w:rsid w:val="00F7501D"/>
    <w:rsid w:val="00F772B5"/>
    <w:rsid w:val="00F77EC0"/>
    <w:rsid w:val="00F87183"/>
    <w:rsid w:val="00F92D33"/>
    <w:rsid w:val="00F93B31"/>
    <w:rsid w:val="00F966D6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57E3-12E9-4560-8A1D-95A3DD67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882</Words>
  <Characters>6535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242</cp:revision>
  <cp:lastPrinted>2015-07-02T11:07:00Z</cp:lastPrinted>
  <dcterms:created xsi:type="dcterms:W3CDTF">2014-12-01T08:11:00Z</dcterms:created>
  <dcterms:modified xsi:type="dcterms:W3CDTF">2016-07-18T09:35:00Z</dcterms:modified>
</cp:coreProperties>
</file>